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0C" w:rsidRPr="008431FA" w:rsidRDefault="008D399D" w:rsidP="00242216">
      <w:pPr>
        <w:autoSpaceDE w:val="0"/>
        <w:autoSpaceDN w:val="0"/>
        <w:spacing w:line="340" w:lineRule="exact"/>
        <w:jc w:val="left"/>
        <w:rPr>
          <w:rFonts w:asciiTheme="majorEastAsia" w:eastAsiaTheme="majorEastAsia" w:hAnsiTheme="majorEastAsia"/>
          <w:sz w:val="28"/>
          <w:szCs w:val="28"/>
        </w:rPr>
      </w:pPr>
      <w:bookmarkStart w:id="0" w:name="_GoBack"/>
      <w:bookmarkEnd w:id="0"/>
      <w:r w:rsidRPr="008431FA">
        <w:rPr>
          <w:rFonts w:asciiTheme="majorEastAsia" w:eastAsiaTheme="majorEastAsia" w:hAnsiTheme="majorEastAsia"/>
          <w:sz w:val="28"/>
          <w:szCs w:val="28"/>
        </w:rPr>
        <w:t>第</w:t>
      </w:r>
      <w:r w:rsidR="003D1F2F" w:rsidRPr="008431FA">
        <w:rPr>
          <w:rFonts w:asciiTheme="majorEastAsia" w:eastAsiaTheme="majorEastAsia" w:hAnsiTheme="majorEastAsia" w:hint="eastAsia"/>
          <w:sz w:val="28"/>
          <w:szCs w:val="28"/>
        </w:rPr>
        <w:t>４</w:t>
      </w:r>
      <w:r w:rsidR="009C5F0C" w:rsidRPr="008431FA">
        <w:rPr>
          <w:rFonts w:asciiTheme="majorEastAsia" w:eastAsiaTheme="majorEastAsia" w:hAnsiTheme="majorEastAsia" w:hint="eastAsia"/>
          <w:sz w:val="28"/>
          <w:szCs w:val="28"/>
        </w:rPr>
        <w:t xml:space="preserve">　</w:t>
      </w:r>
      <w:r w:rsidR="00316F49" w:rsidRPr="008431FA">
        <w:rPr>
          <w:rFonts w:asciiTheme="majorEastAsia" w:eastAsiaTheme="majorEastAsia" w:hAnsiTheme="majorEastAsia"/>
          <w:sz w:val="28"/>
          <w:szCs w:val="28"/>
        </w:rPr>
        <w:t>計画推進</w:t>
      </w:r>
      <w:r w:rsidR="00316F49" w:rsidRPr="008431FA">
        <w:rPr>
          <w:rFonts w:asciiTheme="majorEastAsia" w:eastAsiaTheme="majorEastAsia" w:hAnsiTheme="majorEastAsia" w:hint="eastAsia"/>
          <w:sz w:val="28"/>
          <w:szCs w:val="28"/>
        </w:rPr>
        <w:t>のための</w:t>
      </w:r>
      <w:r w:rsidR="00316F49" w:rsidRPr="008431FA">
        <w:rPr>
          <w:rFonts w:asciiTheme="majorEastAsia" w:eastAsiaTheme="majorEastAsia" w:hAnsiTheme="majorEastAsia"/>
          <w:sz w:val="28"/>
          <w:szCs w:val="28"/>
        </w:rPr>
        <w:t>基本的事項</w:t>
      </w:r>
    </w:p>
    <w:p w:rsidR="00740616" w:rsidRDefault="00740616" w:rsidP="00740616">
      <w:pPr>
        <w:spacing w:line="340" w:lineRule="exact"/>
        <w:rPr>
          <w:rFonts w:hAnsi="Times New Roman"/>
          <w:color w:val="000000"/>
          <w:spacing w:val="2"/>
        </w:rPr>
      </w:pPr>
    </w:p>
    <w:p w:rsidR="009C5F0C" w:rsidRPr="008431FA" w:rsidRDefault="00316F49" w:rsidP="009C5F0C">
      <w:pPr>
        <w:autoSpaceDE w:val="0"/>
        <w:autoSpaceDN w:val="0"/>
        <w:rPr>
          <w:rFonts w:asciiTheme="majorEastAsia" w:eastAsiaTheme="majorEastAsia" w:hAnsiTheme="majorEastAsia"/>
        </w:rPr>
      </w:pPr>
      <w:r w:rsidRPr="008431FA">
        <w:rPr>
          <w:rFonts w:asciiTheme="majorEastAsia" w:eastAsiaTheme="majorEastAsia" w:hAnsiTheme="majorEastAsia" w:hint="eastAsia"/>
        </w:rPr>
        <w:t>１</w:t>
      </w:r>
      <w:r w:rsidR="009C5F0C" w:rsidRPr="008431FA">
        <w:rPr>
          <w:rFonts w:asciiTheme="majorEastAsia" w:eastAsiaTheme="majorEastAsia" w:hAnsiTheme="majorEastAsia" w:hint="eastAsia"/>
        </w:rPr>
        <w:t xml:space="preserve">　</w:t>
      </w:r>
      <w:r w:rsidRPr="008431FA">
        <w:rPr>
          <w:rFonts w:asciiTheme="majorEastAsia" w:eastAsiaTheme="majorEastAsia" w:hAnsiTheme="majorEastAsia"/>
        </w:rPr>
        <w:t>計画</w:t>
      </w:r>
      <w:r w:rsidRPr="008431FA">
        <w:rPr>
          <w:rFonts w:asciiTheme="majorEastAsia" w:eastAsiaTheme="majorEastAsia" w:hAnsiTheme="majorEastAsia" w:hint="eastAsia"/>
        </w:rPr>
        <w:t>の</w:t>
      </w:r>
      <w:r w:rsidRPr="008431FA">
        <w:rPr>
          <w:rFonts w:asciiTheme="majorEastAsia" w:eastAsiaTheme="majorEastAsia" w:hAnsiTheme="majorEastAsia"/>
        </w:rPr>
        <w:t>基本理念</w:t>
      </w:r>
    </w:p>
    <w:p w:rsidR="00740616" w:rsidRDefault="00316F49" w:rsidP="00740616">
      <w:pPr>
        <w:autoSpaceDE w:val="0"/>
        <w:autoSpaceDN w:val="0"/>
        <w:adjustRightInd w:val="0"/>
        <w:ind w:firstLineChars="200" w:firstLine="465"/>
        <w:jc w:val="left"/>
        <w:rPr>
          <w:rFonts w:cs="MS-Mincho"/>
        </w:rPr>
      </w:pPr>
      <w:r>
        <w:rPr>
          <w:rFonts w:cs="MS-Mincho"/>
        </w:rPr>
        <w:t>障</w:t>
      </w:r>
      <w:r w:rsidRPr="009C5F0C">
        <w:rPr>
          <w:rFonts w:cs="MS-Mincho" w:hint="eastAsia"/>
        </w:rPr>
        <w:t>がいの</w:t>
      </w:r>
      <w:r>
        <w:rPr>
          <w:rFonts w:cs="MS-Mincho"/>
        </w:rPr>
        <w:t>有無</w:t>
      </w:r>
      <w:r w:rsidRPr="009C5F0C">
        <w:rPr>
          <w:rFonts w:cs="MS-Mincho" w:hint="eastAsia"/>
        </w:rPr>
        <w:t>にかかわらず，</w:t>
      </w:r>
      <w:r>
        <w:rPr>
          <w:rFonts w:cs="MS-Mincho"/>
        </w:rPr>
        <w:t>等しく基本的人権</w:t>
      </w:r>
      <w:r w:rsidRPr="009C5F0C">
        <w:rPr>
          <w:rFonts w:cs="MS-Mincho" w:hint="eastAsia"/>
        </w:rPr>
        <w:t>を</w:t>
      </w:r>
      <w:r>
        <w:rPr>
          <w:rFonts w:cs="MS-Mincho"/>
        </w:rPr>
        <w:t>享有</w:t>
      </w:r>
      <w:r w:rsidRPr="009C5F0C">
        <w:rPr>
          <w:rFonts w:cs="MS-Mincho" w:hint="eastAsia"/>
        </w:rPr>
        <w:t>するかけがえのない</w:t>
      </w:r>
      <w:r>
        <w:rPr>
          <w:rFonts w:cs="MS-Mincho"/>
        </w:rPr>
        <w:t>個人</w:t>
      </w:r>
      <w:r w:rsidRPr="009C5F0C">
        <w:rPr>
          <w:rFonts w:cs="MS-Mincho" w:hint="eastAsia"/>
        </w:rPr>
        <w:t>と</w:t>
      </w:r>
    </w:p>
    <w:p w:rsidR="00740616" w:rsidRDefault="00316F49" w:rsidP="00740616">
      <w:pPr>
        <w:autoSpaceDE w:val="0"/>
        <w:autoSpaceDN w:val="0"/>
        <w:adjustRightInd w:val="0"/>
        <w:ind w:firstLineChars="100" w:firstLine="233"/>
        <w:jc w:val="distribute"/>
      </w:pPr>
      <w:r w:rsidRPr="009C5F0C">
        <w:rPr>
          <w:rFonts w:cs="MS-Mincho" w:hint="eastAsia"/>
        </w:rPr>
        <w:t>して</w:t>
      </w:r>
      <w:r>
        <w:rPr>
          <w:rFonts w:cs="MS-Mincho"/>
        </w:rPr>
        <w:t>尊重</w:t>
      </w:r>
      <w:r w:rsidRPr="009C5F0C">
        <w:rPr>
          <w:rFonts w:cs="MS-Mincho" w:hint="eastAsia"/>
        </w:rPr>
        <w:t>されるよう，</w:t>
      </w:r>
      <w:r>
        <w:t>障</w:t>
      </w:r>
      <w:r w:rsidRPr="009C5F0C">
        <w:rPr>
          <w:rFonts w:hint="eastAsia"/>
        </w:rPr>
        <w:t>がい</w:t>
      </w:r>
      <w:r>
        <w:t>者基本計画</w:t>
      </w:r>
      <w:r w:rsidRPr="009C5F0C">
        <w:rPr>
          <w:rFonts w:hint="eastAsia"/>
        </w:rPr>
        <w:t>に</w:t>
      </w:r>
      <w:r>
        <w:t>掲げる</w:t>
      </w:r>
      <w:r w:rsidRPr="00BE5DE3">
        <w:rPr>
          <w:rFonts w:hint="eastAsia"/>
        </w:rPr>
        <w:t>「</w:t>
      </w:r>
      <w:r w:rsidRPr="00BE5DE3">
        <w:t>障</w:t>
      </w:r>
      <w:r w:rsidRPr="00BE5DE3">
        <w:rPr>
          <w:rFonts w:hint="eastAsia"/>
        </w:rPr>
        <w:t>がいのある</w:t>
      </w:r>
      <w:r w:rsidRPr="00BE5DE3">
        <w:t>人</w:t>
      </w:r>
      <w:r w:rsidRPr="00BE5DE3">
        <w:rPr>
          <w:rFonts w:hint="eastAsia"/>
        </w:rPr>
        <w:t>が</w:t>
      </w:r>
      <w:r w:rsidRPr="00BE5DE3">
        <w:t>生きがい</w:t>
      </w:r>
      <w:r w:rsidRPr="00BE5DE3">
        <w:rPr>
          <w:rFonts w:hint="eastAsia"/>
        </w:rPr>
        <w:t>を</w:t>
      </w:r>
    </w:p>
    <w:p w:rsidR="00740616" w:rsidRDefault="00316F49" w:rsidP="00740616">
      <w:pPr>
        <w:autoSpaceDE w:val="0"/>
        <w:autoSpaceDN w:val="0"/>
        <w:adjustRightInd w:val="0"/>
        <w:ind w:firstLineChars="100" w:firstLine="233"/>
        <w:jc w:val="distribute"/>
      </w:pPr>
      <w:r w:rsidRPr="00BE5DE3">
        <w:t>持ち</w:t>
      </w:r>
      <w:r w:rsidRPr="00BE5DE3">
        <w:rPr>
          <w:rFonts w:hint="eastAsia"/>
        </w:rPr>
        <w:t>，</w:t>
      </w:r>
      <w:r w:rsidR="009412C0" w:rsidRPr="00BE5DE3">
        <w:rPr>
          <w:rFonts w:hint="eastAsia"/>
        </w:rPr>
        <w:t>自立し，</w:t>
      </w:r>
      <w:r w:rsidRPr="00BE5DE3">
        <w:t>安心</w:t>
      </w:r>
      <w:r w:rsidRPr="00BE5DE3">
        <w:rPr>
          <w:rFonts w:hint="eastAsia"/>
        </w:rPr>
        <w:t>して</w:t>
      </w:r>
      <w:r w:rsidRPr="00BE5DE3">
        <w:t>暮ら</w:t>
      </w:r>
      <w:r w:rsidR="009412C0" w:rsidRPr="00BE5DE3">
        <w:rPr>
          <w:rFonts w:hint="eastAsia"/>
        </w:rPr>
        <w:t>せる共生社会の実現</w:t>
      </w:r>
      <w:r w:rsidRPr="00BE5DE3">
        <w:rPr>
          <w:rFonts w:hint="eastAsia"/>
        </w:rPr>
        <w:t>」</w:t>
      </w:r>
      <w:r w:rsidRPr="009C5F0C">
        <w:rPr>
          <w:rFonts w:hint="eastAsia"/>
        </w:rPr>
        <w:t>という</w:t>
      </w:r>
      <w:r>
        <w:t>理念</w:t>
      </w:r>
      <w:r w:rsidRPr="009C5F0C">
        <w:rPr>
          <w:rFonts w:hint="eastAsia"/>
        </w:rPr>
        <w:t>のもと，</w:t>
      </w:r>
      <w:r>
        <w:t>障</w:t>
      </w:r>
      <w:r w:rsidRPr="009C5F0C">
        <w:rPr>
          <w:rFonts w:hint="eastAsia"/>
        </w:rPr>
        <w:t>がいの</w:t>
      </w:r>
    </w:p>
    <w:p w:rsidR="00740616" w:rsidRDefault="00316F49" w:rsidP="00740616">
      <w:pPr>
        <w:autoSpaceDE w:val="0"/>
        <w:autoSpaceDN w:val="0"/>
        <w:adjustRightInd w:val="0"/>
        <w:ind w:firstLineChars="100" w:firstLine="233"/>
        <w:jc w:val="distribute"/>
      </w:pPr>
      <w:r w:rsidRPr="009C5F0C">
        <w:rPr>
          <w:rFonts w:hint="eastAsia"/>
        </w:rPr>
        <w:t>ある</w:t>
      </w:r>
      <w:r>
        <w:t>人</w:t>
      </w:r>
      <w:r w:rsidRPr="009C5F0C">
        <w:rPr>
          <w:rFonts w:hint="eastAsia"/>
        </w:rPr>
        <w:t>がその</w:t>
      </w:r>
      <w:r>
        <w:t>有する能力</w:t>
      </w:r>
      <w:r w:rsidR="00AE0A1B">
        <w:t>と</w:t>
      </w:r>
      <w:r>
        <w:t>適性</w:t>
      </w:r>
      <w:r w:rsidRPr="009C5F0C">
        <w:rPr>
          <w:rFonts w:hint="eastAsia"/>
        </w:rPr>
        <w:t>に</w:t>
      </w:r>
      <w:r>
        <w:t>応じ</w:t>
      </w:r>
      <w:r w:rsidRPr="009C5F0C">
        <w:rPr>
          <w:rFonts w:hint="eastAsia"/>
        </w:rPr>
        <w:t>，</w:t>
      </w:r>
      <w:r>
        <w:t>自立</w:t>
      </w:r>
      <w:r w:rsidRPr="009C5F0C">
        <w:rPr>
          <w:rFonts w:hint="eastAsia"/>
        </w:rPr>
        <w:t>した</w:t>
      </w:r>
      <w:r>
        <w:t>日常生活</w:t>
      </w:r>
      <w:r w:rsidRPr="009C5F0C">
        <w:rPr>
          <w:rFonts w:hint="eastAsia"/>
        </w:rPr>
        <w:t>または</w:t>
      </w:r>
      <w:r>
        <w:t>社会生活</w:t>
      </w:r>
      <w:r w:rsidRPr="009C5F0C">
        <w:rPr>
          <w:rFonts w:hint="eastAsia"/>
        </w:rPr>
        <w:t>を</w:t>
      </w:r>
      <w:r>
        <w:t>営む</w:t>
      </w:r>
    </w:p>
    <w:p w:rsidR="00740616" w:rsidRDefault="009C5F0C" w:rsidP="00740616">
      <w:pPr>
        <w:autoSpaceDE w:val="0"/>
        <w:autoSpaceDN w:val="0"/>
        <w:adjustRightInd w:val="0"/>
        <w:ind w:firstLineChars="100" w:firstLine="233"/>
        <w:jc w:val="distribute"/>
      </w:pPr>
      <w:r w:rsidRPr="009C5F0C">
        <w:rPr>
          <w:rFonts w:hint="eastAsia"/>
        </w:rPr>
        <w:t>ことができるよう，</w:t>
      </w:r>
      <w:r w:rsidR="00316F49">
        <w:t>必要</w:t>
      </w:r>
      <w:r w:rsidR="00316F49" w:rsidRPr="009C5F0C">
        <w:rPr>
          <w:rFonts w:hint="eastAsia"/>
        </w:rPr>
        <w:t>な</w:t>
      </w:r>
      <w:r w:rsidR="00316F49">
        <w:t>障</w:t>
      </w:r>
      <w:r w:rsidR="00316F49" w:rsidRPr="009C5F0C">
        <w:rPr>
          <w:rFonts w:hint="eastAsia"/>
        </w:rPr>
        <w:t>がい</w:t>
      </w:r>
      <w:r w:rsidR="00316F49">
        <w:t>福祉サービ</w:t>
      </w:r>
      <w:r w:rsidR="00316F49" w:rsidRPr="00740616">
        <w:t>ス</w:t>
      </w:r>
      <w:r w:rsidR="009412C0" w:rsidRPr="00740616">
        <w:rPr>
          <w:rFonts w:hint="eastAsia"/>
        </w:rPr>
        <w:t>および障</w:t>
      </w:r>
      <w:r w:rsidR="003D14E6" w:rsidRPr="00740616">
        <w:rPr>
          <w:rFonts w:hint="eastAsia"/>
        </w:rPr>
        <w:t>害</w:t>
      </w:r>
      <w:r w:rsidR="009412C0" w:rsidRPr="00740616">
        <w:rPr>
          <w:rFonts w:hint="eastAsia"/>
        </w:rPr>
        <w:t>児通所支援</w:t>
      </w:r>
      <w:r w:rsidR="00316F49" w:rsidRPr="00740616">
        <w:rPr>
          <w:rFonts w:hint="eastAsia"/>
        </w:rPr>
        <w:t>の</w:t>
      </w:r>
      <w:r w:rsidR="00316F49" w:rsidRPr="00740616">
        <w:t>提供</w:t>
      </w:r>
      <w:r w:rsidR="00AE0A1B" w:rsidRPr="00740616">
        <w:t>を</w:t>
      </w:r>
    </w:p>
    <w:p w:rsidR="009C5F0C" w:rsidRPr="009C5F0C" w:rsidRDefault="00AE0A1B" w:rsidP="00740616">
      <w:pPr>
        <w:autoSpaceDE w:val="0"/>
        <w:autoSpaceDN w:val="0"/>
        <w:adjustRightInd w:val="0"/>
        <w:ind w:firstLineChars="100" w:firstLine="233"/>
        <w:jc w:val="left"/>
      </w:pPr>
      <w:r w:rsidRPr="00740616">
        <w:t>はじめとするさまざまな</w:t>
      </w:r>
      <w:r w:rsidR="00316F49" w:rsidRPr="00740616">
        <w:t>支援</w:t>
      </w:r>
      <w:r w:rsidR="00316F49" w:rsidRPr="00740616">
        <w:rPr>
          <w:rFonts w:hint="eastAsia"/>
        </w:rPr>
        <w:t>を</w:t>
      </w:r>
      <w:r w:rsidR="00316F49" w:rsidRPr="00740616">
        <w:t>行</w:t>
      </w:r>
      <w:r w:rsidR="00105B5D" w:rsidRPr="00740616">
        <w:t>いま</w:t>
      </w:r>
      <w:r w:rsidR="0073274D">
        <w:rPr>
          <w:rFonts w:hint="eastAsia"/>
        </w:rPr>
        <w:t>す</w:t>
      </w:r>
      <w:r w:rsidR="00316F49" w:rsidRPr="009C5F0C">
        <w:rPr>
          <w:rFonts w:hint="eastAsia"/>
        </w:rPr>
        <w:t>。</w:t>
      </w:r>
    </w:p>
    <w:p w:rsidR="008B6B7C" w:rsidRDefault="008B6B7C" w:rsidP="008B6B7C">
      <w:pPr>
        <w:pStyle w:val="ab"/>
        <w:adjustRightInd/>
        <w:spacing w:line="340" w:lineRule="exact"/>
        <w:rPr>
          <w:rFonts w:ascii="ＭＳ 明朝" w:eastAsia="ＭＳ ゴシック" w:hAnsi="Times New Roman" w:cs="ＭＳ ゴシック"/>
        </w:rPr>
      </w:pPr>
    </w:p>
    <w:p w:rsidR="009C5F0C" w:rsidRPr="008431FA" w:rsidRDefault="009C5F0C" w:rsidP="009C5F0C">
      <w:pPr>
        <w:autoSpaceDE w:val="0"/>
        <w:autoSpaceDN w:val="0"/>
        <w:rPr>
          <w:rFonts w:asciiTheme="majorEastAsia" w:eastAsiaTheme="majorEastAsia" w:hAnsiTheme="majorEastAsia"/>
        </w:rPr>
      </w:pPr>
      <w:r w:rsidRPr="008431FA">
        <w:rPr>
          <w:rFonts w:asciiTheme="majorEastAsia" w:eastAsiaTheme="majorEastAsia" w:hAnsiTheme="majorEastAsia" w:hint="eastAsia"/>
        </w:rPr>
        <w:t xml:space="preserve">２　</w:t>
      </w:r>
      <w:r w:rsidR="00316F49" w:rsidRPr="008431FA">
        <w:rPr>
          <w:rFonts w:asciiTheme="majorEastAsia" w:eastAsiaTheme="majorEastAsia" w:hAnsiTheme="majorEastAsia"/>
        </w:rPr>
        <w:t>計画</w:t>
      </w:r>
      <w:r w:rsidR="00316F49" w:rsidRPr="008431FA">
        <w:rPr>
          <w:rFonts w:asciiTheme="majorEastAsia" w:eastAsiaTheme="majorEastAsia" w:hAnsiTheme="majorEastAsia" w:hint="eastAsia"/>
        </w:rPr>
        <w:t>の</w:t>
      </w:r>
      <w:r w:rsidR="00316F49" w:rsidRPr="008431FA">
        <w:rPr>
          <w:rFonts w:asciiTheme="majorEastAsia" w:eastAsiaTheme="majorEastAsia" w:hAnsiTheme="majorEastAsia"/>
        </w:rPr>
        <w:t>基本</w:t>
      </w:r>
      <w:r w:rsidR="008E44CF">
        <w:rPr>
          <w:rFonts w:asciiTheme="majorEastAsia" w:eastAsiaTheme="majorEastAsia" w:hAnsiTheme="majorEastAsia" w:hint="eastAsia"/>
        </w:rPr>
        <w:t>的な</w:t>
      </w:r>
      <w:r w:rsidR="00316F49" w:rsidRPr="008431FA">
        <w:rPr>
          <w:rFonts w:asciiTheme="majorEastAsia" w:eastAsiaTheme="majorEastAsia" w:hAnsiTheme="majorEastAsia"/>
        </w:rPr>
        <w:t>方向</w:t>
      </w:r>
    </w:p>
    <w:p w:rsidR="009C5F0C" w:rsidRPr="009C5F0C" w:rsidRDefault="003D1F2F" w:rsidP="00E56A15">
      <w:pPr>
        <w:autoSpaceDE w:val="0"/>
        <w:autoSpaceDN w:val="0"/>
        <w:ind w:leftChars="100" w:left="233" w:firstLineChars="100" w:firstLine="233"/>
      </w:pPr>
      <w:r>
        <w:rPr>
          <w:rFonts w:hint="eastAsia"/>
        </w:rPr>
        <w:t>障がい者基本計画</w:t>
      </w:r>
      <w:r w:rsidR="00ED611F">
        <w:t>では，障がいのある人に対する施策の基本的な方向として，</w:t>
      </w:r>
      <w:r w:rsidR="00316F49">
        <w:t>基本的人権</w:t>
      </w:r>
      <w:r w:rsidR="00316F49" w:rsidRPr="009C5F0C">
        <w:rPr>
          <w:rFonts w:hint="eastAsia"/>
        </w:rPr>
        <w:t>の</w:t>
      </w:r>
      <w:r w:rsidR="00316F49">
        <w:t>尊重</w:t>
      </w:r>
      <w:r w:rsidR="00316F49" w:rsidRPr="009C5F0C">
        <w:rPr>
          <w:rFonts w:hint="eastAsia"/>
        </w:rPr>
        <w:t>を</w:t>
      </w:r>
      <w:r w:rsidR="00316F49">
        <w:t>根底</w:t>
      </w:r>
      <w:r w:rsidR="00316F49" w:rsidRPr="009C5F0C">
        <w:rPr>
          <w:rFonts w:hint="eastAsia"/>
        </w:rPr>
        <w:t>に</w:t>
      </w:r>
      <w:r w:rsidR="00316F49">
        <w:t>置き</w:t>
      </w:r>
      <w:r w:rsidR="00316F49" w:rsidRPr="009C5F0C">
        <w:rPr>
          <w:rFonts w:hint="eastAsia"/>
        </w:rPr>
        <w:t>，「</w:t>
      </w:r>
      <w:r w:rsidR="00316F49">
        <w:t>地域生活</w:t>
      </w:r>
      <w:r w:rsidR="008E44CF">
        <w:rPr>
          <w:rFonts w:hint="eastAsia"/>
        </w:rPr>
        <w:t>の</w:t>
      </w:r>
      <w:r w:rsidR="00316F49">
        <w:t>支援体制</w:t>
      </w:r>
      <w:r w:rsidR="00316F49" w:rsidRPr="009C5F0C">
        <w:rPr>
          <w:rFonts w:hint="eastAsia"/>
        </w:rPr>
        <w:t>の</w:t>
      </w:r>
      <w:r w:rsidR="00316F49">
        <w:t>充実</w:t>
      </w:r>
      <w:r w:rsidR="00316F49" w:rsidRPr="009C5F0C">
        <w:rPr>
          <w:rFonts w:hint="eastAsia"/>
        </w:rPr>
        <w:t>」</w:t>
      </w:r>
      <w:r w:rsidR="008E44CF">
        <w:rPr>
          <w:rFonts w:hint="eastAsia"/>
        </w:rPr>
        <w:t>，</w:t>
      </w:r>
      <w:r w:rsidR="00316F49" w:rsidRPr="009C5F0C">
        <w:rPr>
          <w:rFonts w:hint="eastAsia"/>
        </w:rPr>
        <w:t>「</w:t>
      </w:r>
      <w:r w:rsidR="00316F49">
        <w:t>自立</w:t>
      </w:r>
      <w:r w:rsidR="00316F49" w:rsidRPr="009C5F0C">
        <w:rPr>
          <w:rFonts w:hint="eastAsia"/>
        </w:rPr>
        <w:t>と</w:t>
      </w:r>
      <w:r w:rsidR="00316F49">
        <w:t>社会参加</w:t>
      </w:r>
      <w:r w:rsidR="00316F49" w:rsidRPr="009C5F0C">
        <w:rPr>
          <w:rFonts w:hint="eastAsia"/>
        </w:rPr>
        <w:t>の</w:t>
      </w:r>
      <w:r w:rsidR="00316F49">
        <w:t>促進</w:t>
      </w:r>
      <w:r w:rsidR="00316F49" w:rsidRPr="009C5F0C">
        <w:rPr>
          <w:rFonts w:hint="eastAsia"/>
        </w:rPr>
        <w:t>」</w:t>
      </w:r>
      <w:r w:rsidR="008E44CF">
        <w:rPr>
          <w:rFonts w:hint="eastAsia"/>
        </w:rPr>
        <w:t>，</w:t>
      </w:r>
      <w:r w:rsidR="00316F49" w:rsidRPr="009C5F0C">
        <w:rPr>
          <w:rFonts w:hint="eastAsia"/>
        </w:rPr>
        <w:t>「</w:t>
      </w:r>
      <w:r w:rsidR="00316F49">
        <w:t>バリアフリー社会</w:t>
      </w:r>
      <w:r w:rsidR="00316F49" w:rsidRPr="009C5F0C">
        <w:rPr>
          <w:rFonts w:hint="eastAsia"/>
        </w:rPr>
        <w:t>の</w:t>
      </w:r>
      <w:r w:rsidR="00316F49">
        <w:t>実現</w:t>
      </w:r>
      <w:r w:rsidR="00316F49" w:rsidRPr="009C5F0C">
        <w:rPr>
          <w:rFonts w:hint="eastAsia"/>
        </w:rPr>
        <w:t>」の３つ</w:t>
      </w:r>
      <w:r w:rsidR="00ED611F">
        <w:rPr>
          <w:rFonts w:hint="eastAsia"/>
        </w:rPr>
        <w:t>を</w:t>
      </w:r>
      <w:r w:rsidR="00316F49">
        <w:t>掲げて</w:t>
      </w:r>
      <w:r w:rsidR="00316F49" w:rsidRPr="009C5F0C">
        <w:rPr>
          <w:rFonts w:hint="eastAsia"/>
        </w:rPr>
        <w:t>います。</w:t>
      </w:r>
    </w:p>
    <w:p w:rsidR="009C5F0C" w:rsidRPr="009C5F0C" w:rsidRDefault="00316F49" w:rsidP="00E56A15">
      <w:pPr>
        <w:autoSpaceDE w:val="0"/>
        <w:autoSpaceDN w:val="0"/>
        <w:ind w:leftChars="100" w:left="233" w:firstLineChars="100" w:firstLine="233"/>
      </w:pPr>
      <w:r>
        <w:t>障</w:t>
      </w:r>
      <w:r w:rsidRPr="009C5F0C">
        <w:rPr>
          <w:rFonts w:hint="eastAsia"/>
        </w:rPr>
        <w:t>がい</w:t>
      </w:r>
      <w:r>
        <w:t>福祉計画</w:t>
      </w:r>
      <w:r w:rsidRPr="009C5F0C">
        <w:rPr>
          <w:rFonts w:hint="eastAsia"/>
        </w:rPr>
        <w:t>では，</w:t>
      </w:r>
      <w:r w:rsidR="00ED611F">
        <w:rPr>
          <w:rFonts w:hint="eastAsia"/>
        </w:rPr>
        <w:t>こ</w:t>
      </w:r>
      <w:r w:rsidRPr="009C5F0C">
        <w:rPr>
          <w:rFonts w:hint="eastAsia"/>
        </w:rPr>
        <w:t>の</w:t>
      </w:r>
      <w:r>
        <w:t>基本的</w:t>
      </w:r>
      <w:r w:rsidRPr="009C5F0C">
        <w:rPr>
          <w:rFonts w:hint="eastAsia"/>
        </w:rPr>
        <w:t>な</w:t>
      </w:r>
      <w:r>
        <w:t>方向</w:t>
      </w:r>
      <w:r w:rsidR="009C5F0C" w:rsidRPr="009C5F0C">
        <w:rPr>
          <w:rFonts w:hint="eastAsia"/>
        </w:rPr>
        <w:t>を</w:t>
      </w:r>
      <w:r>
        <w:t>踏まえ</w:t>
      </w:r>
      <w:r w:rsidRPr="009C5F0C">
        <w:rPr>
          <w:rFonts w:hint="eastAsia"/>
        </w:rPr>
        <w:t>，</w:t>
      </w:r>
      <w:r>
        <w:t>地域全体</w:t>
      </w:r>
      <w:r w:rsidRPr="009C5F0C">
        <w:rPr>
          <w:rFonts w:hint="eastAsia"/>
        </w:rPr>
        <w:t>で</w:t>
      </w:r>
      <w:r>
        <w:t>障</w:t>
      </w:r>
      <w:r w:rsidRPr="009C5F0C">
        <w:rPr>
          <w:rFonts w:hint="eastAsia"/>
        </w:rPr>
        <w:t>がいのある</w:t>
      </w:r>
      <w:r>
        <w:t>人</w:t>
      </w:r>
      <w:r w:rsidRPr="009C5F0C">
        <w:rPr>
          <w:rFonts w:hint="eastAsia"/>
        </w:rPr>
        <w:t>の</w:t>
      </w:r>
      <w:r>
        <w:t>生活</w:t>
      </w:r>
      <w:r w:rsidRPr="009C5F0C">
        <w:rPr>
          <w:rFonts w:hint="eastAsia"/>
        </w:rPr>
        <w:t>を</w:t>
      </w:r>
      <w:r>
        <w:t>支えて</w:t>
      </w:r>
      <w:r w:rsidRPr="009C5F0C">
        <w:rPr>
          <w:rFonts w:hint="eastAsia"/>
        </w:rPr>
        <w:t>いくため，</w:t>
      </w:r>
      <w:r w:rsidR="00946242">
        <w:rPr>
          <w:rFonts w:hint="eastAsia"/>
        </w:rPr>
        <w:t>次</w:t>
      </w:r>
      <w:r w:rsidR="00946242" w:rsidRPr="00242216">
        <w:rPr>
          <w:rFonts w:hint="eastAsia"/>
        </w:rPr>
        <w:t>の</w:t>
      </w:r>
      <w:r w:rsidR="001801A8" w:rsidRPr="00242216">
        <w:rPr>
          <w:rFonts w:hint="eastAsia"/>
        </w:rPr>
        <w:t>５</w:t>
      </w:r>
      <w:r w:rsidR="00946242" w:rsidRPr="00242216">
        <w:rPr>
          <w:rFonts w:hint="eastAsia"/>
        </w:rPr>
        <w:t>つ</w:t>
      </w:r>
      <w:r w:rsidR="00946242">
        <w:rPr>
          <w:rFonts w:hint="eastAsia"/>
        </w:rPr>
        <w:t>を基本</w:t>
      </w:r>
      <w:r w:rsidR="008E44CF">
        <w:rPr>
          <w:rFonts w:hint="eastAsia"/>
        </w:rPr>
        <w:t>的な</w:t>
      </w:r>
      <w:r w:rsidR="00946242">
        <w:rPr>
          <w:rFonts w:hint="eastAsia"/>
        </w:rPr>
        <w:t>方向</w:t>
      </w:r>
      <w:r w:rsidR="008E44CF">
        <w:rPr>
          <w:rFonts w:hint="eastAsia"/>
        </w:rPr>
        <w:t>と定め</w:t>
      </w:r>
      <w:r w:rsidR="003D1F2F">
        <w:rPr>
          <w:rFonts w:hint="eastAsia"/>
        </w:rPr>
        <w:t>施策の推進を図ります。</w:t>
      </w:r>
    </w:p>
    <w:p w:rsidR="000B65A2" w:rsidRDefault="009C5F0C" w:rsidP="000B65A2">
      <w:pPr>
        <w:autoSpaceDE w:val="0"/>
        <w:autoSpaceDN w:val="0"/>
      </w:pPr>
      <w:r w:rsidRPr="009C5F0C">
        <w:rPr>
          <w:rFonts w:hint="eastAsia"/>
        </w:rPr>
        <w:t xml:space="preserve">　</w:t>
      </w:r>
    </w:p>
    <w:p w:rsidR="002B5F85" w:rsidRPr="002B5F85" w:rsidRDefault="002B5F85" w:rsidP="002E3CFA">
      <w:pPr>
        <w:pStyle w:val="aa"/>
        <w:numPr>
          <w:ilvl w:val="0"/>
          <w:numId w:val="15"/>
        </w:numPr>
        <w:autoSpaceDE w:val="0"/>
        <w:autoSpaceDN w:val="0"/>
        <w:ind w:leftChars="0" w:hanging="226"/>
      </w:pPr>
      <w:r w:rsidRPr="002B5F85">
        <w:rPr>
          <w:rFonts w:asciiTheme="minorEastAsia" w:eastAsiaTheme="minorEastAsia" w:hAnsiTheme="minorEastAsia" w:hint="eastAsia"/>
        </w:rPr>
        <w:t>障がいのある人の自己決定の尊重と意思決定の支援</w:t>
      </w:r>
    </w:p>
    <w:p w:rsidR="00740616" w:rsidRDefault="002B5F85" w:rsidP="00740616">
      <w:pPr>
        <w:ind w:firstLineChars="300" w:firstLine="698"/>
        <w:rPr>
          <w:rFonts w:cs="MS-Mincho"/>
        </w:rPr>
      </w:pPr>
      <w:r w:rsidRPr="002B5F85">
        <w:rPr>
          <w:rFonts w:hint="eastAsia"/>
        </w:rPr>
        <w:t>共生社会を実現するため，障がいのある人の自己決定を尊重し，その</w:t>
      </w:r>
      <w:r w:rsidRPr="00740616">
        <w:rPr>
          <w:rFonts w:cs="MS-Mincho" w:hint="eastAsia"/>
        </w:rPr>
        <w:t>意思決定</w:t>
      </w:r>
    </w:p>
    <w:p w:rsidR="00740616" w:rsidRDefault="002B5F85" w:rsidP="00740616">
      <w:pPr>
        <w:ind w:firstLineChars="200" w:firstLine="465"/>
        <w:rPr>
          <w:rFonts w:cs="MS-Mincho"/>
        </w:rPr>
      </w:pPr>
      <w:r w:rsidRPr="00740616">
        <w:rPr>
          <w:rFonts w:cs="MS-Mincho" w:hint="eastAsia"/>
        </w:rPr>
        <w:t>の支援に配慮するとともに，</w:t>
      </w:r>
      <w:r w:rsidRPr="00740616">
        <w:rPr>
          <w:rFonts w:cs="MS-Mincho"/>
        </w:rPr>
        <w:t>障がいの種別や程度にかかわら</w:t>
      </w:r>
      <w:r w:rsidRPr="00740616">
        <w:rPr>
          <w:rFonts w:cs="MS-Mincho" w:hint="eastAsia"/>
        </w:rPr>
        <w:t>ず，</w:t>
      </w:r>
      <w:r w:rsidRPr="00740616">
        <w:rPr>
          <w:rFonts w:cs="MS-Mincho"/>
        </w:rPr>
        <w:t>必要な支援を受</w:t>
      </w:r>
    </w:p>
    <w:p w:rsidR="00740616" w:rsidRDefault="002B5F85" w:rsidP="00740616">
      <w:pPr>
        <w:ind w:firstLineChars="200" w:firstLine="465"/>
        <w:rPr>
          <w:rFonts w:cs="MS-Mincho"/>
        </w:rPr>
      </w:pPr>
      <w:r w:rsidRPr="00740616">
        <w:rPr>
          <w:rFonts w:cs="MS-Mincho"/>
        </w:rPr>
        <w:t>けながら，自らの意思で住みたい場所を選び，自立し社会参加することができる</w:t>
      </w:r>
    </w:p>
    <w:p w:rsidR="002B5F85" w:rsidRPr="002B5F85" w:rsidRDefault="002B5F85" w:rsidP="00740616">
      <w:pPr>
        <w:ind w:firstLineChars="200" w:firstLine="465"/>
      </w:pPr>
      <w:r w:rsidRPr="00740616">
        <w:rPr>
          <w:rFonts w:cs="MS-Mincho"/>
        </w:rPr>
        <w:t>よう，相談支援体制をはじめ，障がい福祉サービスなどの充実を図ります。</w:t>
      </w:r>
    </w:p>
    <w:p w:rsidR="002B5F85" w:rsidRPr="002B5F85" w:rsidRDefault="002B5F85" w:rsidP="002B5F85">
      <w:pPr>
        <w:autoSpaceDE w:val="0"/>
        <w:autoSpaceDN w:val="0"/>
      </w:pPr>
    </w:p>
    <w:p w:rsidR="009C5F0C" w:rsidRPr="00AE0A1B" w:rsidRDefault="00DB71E2" w:rsidP="002E3CFA">
      <w:pPr>
        <w:pStyle w:val="aa"/>
        <w:numPr>
          <w:ilvl w:val="0"/>
          <w:numId w:val="15"/>
        </w:numPr>
        <w:autoSpaceDE w:val="0"/>
        <w:autoSpaceDN w:val="0"/>
        <w:ind w:leftChars="0" w:hanging="226"/>
      </w:pPr>
      <w:r w:rsidRPr="002E3CFA">
        <w:rPr>
          <w:rFonts w:asciiTheme="minorEastAsia" w:eastAsiaTheme="minorEastAsia" w:hAnsiTheme="minorEastAsia" w:hint="eastAsia"/>
        </w:rPr>
        <w:t>障がい種別によらない</w:t>
      </w:r>
      <w:r w:rsidR="009C5F0C" w:rsidRPr="00AE0A1B">
        <w:rPr>
          <w:rFonts w:hint="eastAsia"/>
        </w:rPr>
        <w:t>サービス提供の推進</w:t>
      </w:r>
    </w:p>
    <w:p w:rsidR="00740616" w:rsidRDefault="003D1F2F" w:rsidP="008431FA">
      <w:pPr>
        <w:kinsoku w:val="0"/>
        <w:autoSpaceDE w:val="0"/>
        <w:autoSpaceDN w:val="0"/>
        <w:ind w:leftChars="310" w:left="721"/>
        <w:jc w:val="distribute"/>
        <w:rPr>
          <w:rFonts w:asciiTheme="minorEastAsia" w:eastAsiaTheme="minorEastAsia" w:hAnsiTheme="minorEastAsia"/>
        </w:rPr>
      </w:pPr>
      <w:r w:rsidRPr="00D32515">
        <w:rPr>
          <w:rFonts w:asciiTheme="minorEastAsia" w:eastAsiaTheme="minorEastAsia" w:hAnsiTheme="minorEastAsia" w:hint="eastAsia"/>
        </w:rPr>
        <w:t>障がい種別によらない制度の一元化のもとで</w:t>
      </w:r>
      <w:r w:rsidR="009C5F0C" w:rsidRPr="00D32515">
        <w:rPr>
          <w:rFonts w:asciiTheme="minorEastAsia" w:eastAsiaTheme="minorEastAsia" w:hAnsiTheme="minorEastAsia" w:hint="eastAsia"/>
        </w:rPr>
        <w:t>，障がい福祉サービス</w:t>
      </w:r>
      <w:r w:rsidR="00B50937" w:rsidRPr="00242216">
        <w:rPr>
          <w:rFonts w:asciiTheme="minorEastAsia" w:eastAsiaTheme="minorEastAsia" w:hAnsiTheme="minorEastAsia" w:hint="eastAsia"/>
        </w:rPr>
        <w:t>等</w:t>
      </w:r>
      <w:r w:rsidR="009C5F0C" w:rsidRPr="00242216">
        <w:rPr>
          <w:rFonts w:asciiTheme="minorEastAsia" w:eastAsiaTheme="minorEastAsia" w:hAnsiTheme="minorEastAsia" w:hint="eastAsia"/>
        </w:rPr>
        <w:t>の実施</w:t>
      </w:r>
    </w:p>
    <w:p w:rsidR="00740616" w:rsidRDefault="00740616" w:rsidP="00740616">
      <w:pPr>
        <w:kinsoku w:val="0"/>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9C5F0C" w:rsidRPr="00242216">
        <w:rPr>
          <w:rFonts w:asciiTheme="minorEastAsia" w:eastAsiaTheme="minorEastAsia" w:hAnsiTheme="minorEastAsia" w:hint="eastAsia"/>
        </w:rPr>
        <w:t>主体として，北海道および南渡島圏域の市町と連携しながら障がい福祉サービス</w:t>
      </w:r>
    </w:p>
    <w:p w:rsidR="009C5F0C" w:rsidRPr="00242216" w:rsidRDefault="00B50937" w:rsidP="00740616">
      <w:pPr>
        <w:kinsoku w:val="0"/>
        <w:autoSpaceDE w:val="0"/>
        <w:autoSpaceDN w:val="0"/>
        <w:ind w:firstLineChars="200" w:firstLine="465"/>
        <w:rPr>
          <w:rFonts w:asciiTheme="minorEastAsia" w:eastAsiaTheme="minorEastAsia" w:hAnsiTheme="minorEastAsia"/>
        </w:rPr>
      </w:pPr>
      <w:r w:rsidRPr="00242216">
        <w:rPr>
          <w:rFonts w:asciiTheme="minorEastAsia" w:eastAsiaTheme="minorEastAsia" w:hAnsiTheme="minorEastAsia" w:hint="eastAsia"/>
        </w:rPr>
        <w:t>等</w:t>
      </w:r>
      <w:r w:rsidR="009C5F0C" w:rsidRPr="00242216">
        <w:rPr>
          <w:rFonts w:asciiTheme="minorEastAsia" w:eastAsiaTheme="minorEastAsia" w:hAnsiTheme="minorEastAsia" w:hint="eastAsia"/>
        </w:rPr>
        <w:t>の充実に努めます。</w:t>
      </w:r>
    </w:p>
    <w:p w:rsidR="00946242" w:rsidRPr="00E56A15" w:rsidRDefault="00946242" w:rsidP="009C5F0C">
      <w:pPr>
        <w:autoSpaceDE w:val="0"/>
        <w:autoSpaceDN w:val="0"/>
      </w:pPr>
    </w:p>
    <w:p w:rsidR="009C5F0C" w:rsidRPr="00AE0A1B" w:rsidRDefault="00AE0A1B" w:rsidP="002E3CFA">
      <w:pPr>
        <w:pStyle w:val="aa"/>
        <w:numPr>
          <w:ilvl w:val="0"/>
          <w:numId w:val="15"/>
        </w:numPr>
        <w:autoSpaceDE w:val="0"/>
        <w:autoSpaceDN w:val="0"/>
        <w:ind w:leftChars="0" w:hanging="226"/>
      </w:pPr>
      <w:r>
        <w:rPr>
          <w:rFonts w:hint="eastAsia"/>
        </w:rPr>
        <w:t>包括的な支援</w:t>
      </w:r>
      <w:r w:rsidR="009C5F0C" w:rsidRPr="00AE0A1B">
        <w:rPr>
          <w:rFonts w:hint="eastAsia"/>
        </w:rPr>
        <w:t>体制の整備</w:t>
      </w:r>
    </w:p>
    <w:p w:rsidR="00740616" w:rsidRDefault="009C5F0C" w:rsidP="008431FA">
      <w:pPr>
        <w:autoSpaceDE w:val="0"/>
        <w:autoSpaceDN w:val="0"/>
        <w:ind w:leftChars="310" w:left="721"/>
        <w:rPr>
          <w:rFonts w:asciiTheme="minorEastAsia" w:eastAsiaTheme="minorEastAsia" w:hAnsiTheme="minorEastAsia"/>
        </w:rPr>
      </w:pPr>
      <w:r w:rsidRPr="002B5F85">
        <w:rPr>
          <w:rFonts w:asciiTheme="minorEastAsia" w:eastAsiaTheme="minorEastAsia" w:hAnsiTheme="minorEastAsia" w:hint="eastAsia"/>
        </w:rPr>
        <w:t>障がいのある人の自立支援の観点から，地域生活への移行や就労支援に関する</w:t>
      </w:r>
    </w:p>
    <w:p w:rsidR="00740616" w:rsidRDefault="009C5F0C" w:rsidP="00740616">
      <w:pPr>
        <w:autoSpaceDE w:val="0"/>
        <w:autoSpaceDN w:val="0"/>
        <w:ind w:firstLineChars="200" w:firstLine="465"/>
        <w:jc w:val="distribute"/>
        <w:rPr>
          <w:rFonts w:asciiTheme="minorEastAsia" w:eastAsiaTheme="minorEastAsia" w:hAnsiTheme="minorEastAsia"/>
        </w:rPr>
      </w:pPr>
      <w:r w:rsidRPr="002B5F85">
        <w:rPr>
          <w:rFonts w:asciiTheme="minorEastAsia" w:eastAsiaTheme="minorEastAsia" w:hAnsiTheme="minorEastAsia" w:hint="eastAsia"/>
        </w:rPr>
        <w:t>サービスの提供体制を整備するとともに，保健，医療，福祉，労働，教育等の</w:t>
      </w:r>
    </w:p>
    <w:p w:rsidR="00740616" w:rsidRDefault="009C5F0C" w:rsidP="00740616">
      <w:pPr>
        <w:autoSpaceDE w:val="0"/>
        <w:autoSpaceDN w:val="0"/>
        <w:ind w:firstLineChars="200" w:firstLine="465"/>
        <w:rPr>
          <w:rFonts w:asciiTheme="minorEastAsia" w:eastAsiaTheme="minorEastAsia" w:hAnsiTheme="minorEastAsia"/>
        </w:rPr>
      </w:pPr>
      <w:r w:rsidRPr="002B5F85">
        <w:rPr>
          <w:rFonts w:asciiTheme="minorEastAsia" w:eastAsiaTheme="minorEastAsia" w:hAnsiTheme="minorEastAsia" w:hint="eastAsia"/>
        </w:rPr>
        <w:t>関係機関が連携し，障がいのある人の生活を地域全体で支えるシステムの確立を</w:t>
      </w:r>
    </w:p>
    <w:p w:rsidR="002B5F85" w:rsidRPr="002B5F85" w:rsidRDefault="009C5F0C" w:rsidP="00740616">
      <w:pPr>
        <w:autoSpaceDE w:val="0"/>
        <w:autoSpaceDN w:val="0"/>
        <w:ind w:firstLineChars="200" w:firstLine="465"/>
        <w:rPr>
          <w:rFonts w:asciiTheme="minorEastAsia" w:eastAsiaTheme="minorEastAsia" w:hAnsiTheme="minorEastAsia"/>
        </w:rPr>
      </w:pPr>
      <w:r w:rsidRPr="002B5F85">
        <w:rPr>
          <w:rFonts w:asciiTheme="minorEastAsia" w:eastAsiaTheme="minorEastAsia" w:hAnsiTheme="minorEastAsia" w:hint="eastAsia"/>
        </w:rPr>
        <w:t>めざします。</w:t>
      </w:r>
    </w:p>
    <w:p w:rsidR="00184BF6" w:rsidRPr="00242216" w:rsidRDefault="008A4BF1" w:rsidP="008A4BF1">
      <w:pPr>
        <w:widowControl/>
        <w:jc w:val="left"/>
      </w:pPr>
      <w:r>
        <w:br w:type="page"/>
      </w:r>
      <w:r w:rsidR="000746B2" w:rsidRPr="000746B2">
        <w:rPr>
          <w:rFonts w:ascii="游明朝" w:eastAsia="游明朝" w:hAnsi="游明朝"/>
          <w:noProof/>
          <w:kern w:val="2"/>
          <w:sz w:val="21"/>
          <w:szCs w:val="22"/>
        </w:rPr>
        <w:drawing>
          <wp:anchor distT="0" distB="0" distL="114300" distR="114300" simplePos="0" relativeHeight="251659264" behindDoc="0" locked="0" layoutInCell="1" allowOverlap="1" wp14:anchorId="17E4FB27" wp14:editId="4683B8B2">
            <wp:simplePos x="0" y="0"/>
            <wp:positionH relativeFrom="page">
              <wp:posOffset>6333490</wp:posOffset>
            </wp:positionH>
            <wp:positionV relativeFrom="page">
              <wp:posOffset>9469120</wp:posOffset>
            </wp:positionV>
            <wp:extent cx="645840" cy="645840"/>
            <wp:effectExtent l="0" t="0" r="1905" b="1905"/>
            <wp:wrapNone/>
            <wp:docPr id="1"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p>
    <w:p w:rsidR="008A4BF1" w:rsidRDefault="002B5F85" w:rsidP="008A4BF1">
      <w:pPr>
        <w:pStyle w:val="aa"/>
        <w:numPr>
          <w:ilvl w:val="0"/>
          <w:numId w:val="15"/>
        </w:numPr>
        <w:ind w:leftChars="0" w:hanging="226"/>
      </w:pPr>
      <w:r w:rsidRPr="00242216">
        <w:rPr>
          <w:rFonts w:hint="eastAsia"/>
        </w:rPr>
        <w:lastRenderedPageBreak/>
        <w:t>地域共生社会の実現に向けた取組</w:t>
      </w:r>
    </w:p>
    <w:p w:rsidR="002B5F85" w:rsidRPr="008A4BF1" w:rsidRDefault="002B5F85" w:rsidP="00242E08">
      <w:pPr>
        <w:pStyle w:val="aa"/>
        <w:ind w:leftChars="0" w:left="488" w:firstLineChars="100" w:firstLine="233"/>
      </w:pPr>
      <w:r w:rsidRPr="008A4BF1">
        <w:rPr>
          <w:rFonts w:asciiTheme="minorEastAsia" w:eastAsiaTheme="minorEastAsia" w:hAnsiTheme="minorEastAsia" w:hint="eastAsia"/>
        </w:rPr>
        <w:t>地域共生社会の実現に向け，制度の縦割りを超えた柔軟なサービスの確保</w:t>
      </w:r>
      <w:r w:rsidR="00C87051">
        <w:rPr>
          <w:rFonts w:asciiTheme="minorEastAsia" w:eastAsiaTheme="minorEastAsia" w:hAnsiTheme="minorEastAsia" w:hint="eastAsia"/>
        </w:rPr>
        <w:t>，および</w:t>
      </w:r>
      <w:r w:rsidRPr="008A4BF1">
        <w:rPr>
          <w:rFonts w:asciiTheme="minorEastAsia" w:eastAsiaTheme="minorEastAsia" w:hAnsiTheme="minorEastAsia" w:hint="eastAsia"/>
        </w:rPr>
        <w:t>専門的な支援を要する人や子どもに対して，各関連分野が共通の理解に基づき協働する包括的な支援体制の構築をめざします。</w:t>
      </w:r>
    </w:p>
    <w:p w:rsidR="008A4BF1" w:rsidRPr="002B5F85" w:rsidRDefault="008A4BF1" w:rsidP="002B5F85"/>
    <w:p w:rsidR="00184BF6" w:rsidRPr="00242216" w:rsidRDefault="00CD2D55" w:rsidP="002E3CFA">
      <w:pPr>
        <w:pStyle w:val="aa"/>
        <w:numPr>
          <w:ilvl w:val="0"/>
          <w:numId w:val="15"/>
        </w:numPr>
        <w:ind w:leftChars="0" w:hanging="226"/>
      </w:pPr>
      <w:r w:rsidRPr="00242216">
        <w:rPr>
          <w:rFonts w:hint="eastAsia"/>
        </w:rPr>
        <w:t>障がいの</w:t>
      </w:r>
      <w:r w:rsidR="00DB3E86" w:rsidRPr="00242216">
        <w:rPr>
          <w:rFonts w:hint="eastAsia"/>
        </w:rPr>
        <w:t>ある子どもの</w:t>
      </w:r>
      <w:r w:rsidRPr="00242216">
        <w:rPr>
          <w:rFonts w:hint="eastAsia"/>
        </w:rPr>
        <w:t>健やかな育成のための発達支援</w:t>
      </w:r>
    </w:p>
    <w:p w:rsidR="00A932EC" w:rsidRPr="00242216" w:rsidRDefault="00CD2D55" w:rsidP="00242E08">
      <w:pPr>
        <w:ind w:leftChars="110" w:left="489" w:hangingChars="100" w:hanging="233"/>
        <w:rPr>
          <w:rFonts w:asciiTheme="minorEastAsia" w:eastAsiaTheme="minorEastAsia" w:hAnsiTheme="minorEastAsia"/>
        </w:rPr>
      </w:pPr>
      <w:r w:rsidRPr="00242216">
        <w:rPr>
          <w:rFonts w:hint="eastAsia"/>
        </w:rPr>
        <w:t xml:space="preserve">　　障がい</w:t>
      </w:r>
      <w:r w:rsidR="00CF2C36" w:rsidRPr="00242216">
        <w:rPr>
          <w:rFonts w:hint="eastAsia"/>
        </w:rPr>
        <w:t>のある子ども</w:t>
      </w:r>
      <w:r w:rsidRPr="00242216">
        <w:rPr>
          <w:rFonts w:hint="eastAsia"/>
        </w:rPr>
        <w:t>およびその</w:t>
      </w:r>
      <w:r w:rsidR="00CF2C36" w:rsidRPr="00242216">
        <w:rPr>
          <w:rFonts w:hint="eastAsia"/>
        </w:rPr>
        <w:t>保護者</w:t>
      </w:r>
      <w:r w:rsidR="00A932EC" w:rsidRPr="00242216">
        <w:rPr>
          <w:rFonts w:hint="eastAsia"/>
        </w:rPr>
        <w:t>が</w:t>
      </w:r>
      <w:r w:rsidRPr="00242216">
        <w:rPr>
          <w:rFonts w:hint="eastAsia"/>
        </w:rPr>
        <w:t>，身近な</w:t>
      </w:r>
      <w:r w:rsidR="00EB6D8F" w:rsidRPr="00242216">
        <w:rPr>
          <w:rFonts w:hint="eastAsia"/>
        </w:rPr>
        <w:t>場所で</w:t>
      </w:r>
      <w:r w:rsidR="00A932EC" w:rsidRPr="00242216">
        <w:rPr>
          <w:rFonts w:hint="eastAsia"/>
        </w:rPr>
        <w:t>，</w:t>
      </w:r>
      <w:r w:rsidR="00EB6D8F" w:rsidRPr="00242216">
        <w:rPr>
          <w:rFonts w:hint="eastAsia"/>
        </w:rPr>
        <w:t>それぞれのニーズに応じた，</w:t>
      </w:r>
      <w:r w:rsidR="00201171" w:rsidRPr="00242216">
        <w:rPr>
          <w:rFonts w:asciiTheme="minorEastAsia" w:eastAsiaTheme="minorEastAsia" w:hAnsiTheme="minorEastAsia" w:hint="eastAsia"/>
        </w:rPr>
        <w:t>質の高い専門的な支援を</w:t>
      </w:r>
      <w:r w:rsidR="00A932EC" w:rsidRPr="00242216">
        <w:rPr>
          <w:rFonts w:asciiTheme="minorEastAsia" w:eastAsiaTheme="minorEastAsia" w:hAnsiTheme="minorEastAsia" w:hint="eastAsia"/>
        </w:rPr>
        <w:t>受けることができるよう，</w:t>
      </w:r>
      <w:r w:rsidR="00CF2C36" w:rsidRPr="00242216">
        <w:rPr>
          <w:rFonts w:asciiTheme="minorEastAsia" w:eastAsiaTheme="minorEastAsia" w:hAnsiTheme="minorEastAsia" w:hint="eastAsia"/>
        </w:rPr>
        <w:t>障害児通所支援等の充実を図ります。</w:t>
      </w:r>
    </w:p>
    <w:p w:rsidR="00D26B57" w:rsidRPr="002D1F24" w:rsidRDefault="00D26B57" w:rsidP="00242E08">
      <w:pPr>
        <w:ind w:leftChars="110" w:left="489" w:hangingChars="100" w:hanging="233"/>
      </w:pPr>
      <w:r w:rsidRPr="00242216">
        <w:rPr>
          <w:rFonts w:hint="eastAsia"/>
        </w:rPr>
        <w:t xml:space="preserve">　　また，障がいのある子どもが，障害児通所支援を利用</w:t>
      </w:r>
      <w:r w:rsidR="002D1F24">
        <w:rPr>
          <w:rFonts w:hint="eastAsia"/>
        </w:rPr>
        <w:t>し</w:t>
      </w:r>
      <w:r w:rsidRPr="00242216">
        <w:rPr>
          <w:rFonts w:hint="eastAsia"/>
        </w:rPr>
        <w:t>，地域の保育，教育等の支援を</w:t>
      </w:r>
      <w:r w:rsidR="002D1F24">
        <w:rPr>
          <w:rFonts w:hint="eastAsia"/>
        </w:rPr>
        <w:t>受けられるようにすることで，障がいの有無にかかわらず，全ての子ども</w:t>
      </w:r>
      <w:r w:rsidRPr="00242216">
        <w:rPr>
          <w:rFonts w:hint="eastAsia"/>
        </w:rPr>
        <w:t>が共に成長できるよう，地域社会への参加や包容（インクルージョン）を推進します。</w:t>
      </w:r>
    </w:p>
    <w:p w:rsidR="00201171" w:rsidRPr="00242216" w:rsidRDefault="00201171" w:rsidP="00184BF6">
      <w:pPr>
        <w:ind w:leftChars="100" w:left="466" w:hangingChars="100" w:hanging="233"/>
      </w:pPr>
      <w:r w:rsidRPr="00242216">
        <w:rPr>
          <w:rFonts w:asciiTheme="minorEastAsia" w:eastAsiaTheme="minorEastAsia" w:hAnsiTheme="minorEastAsia" w:hint="eastAsia"/>
        </w:rPr>
        <w:t xml:space="preserve">　　</w:t>
      </w:r>
      <w:r w:rsidR="000746B2" w:rsidRPr="000746B2">
        <w:rPr>
          <w:rFonts w:ascii="游明朝" w:eastAsia="游明朝" w:hAnsi="游明朝"/>
          <w:noProof/>
          <w:kern w:val="2"/>
          <w:sz w:val="21"/>
          <w:szCs w:val="22"/>
        </w:rPr>
        <w:drawing>
          <wp:anchor distT="0" distB="0" distL="114300" distR="114300" simplePos="0" relativeHeight="251661312" behindDoc="0" locked="0" layoutInCell="1" allowOverlap="1" wp14:anchorId="5CCFA38D" wp14:editId="24C232D0">
            <wp:simplePos x="0" y="0"/>
            <wp:positionH relativeFrom="page">
              <wp:posOffset>575945</wp:posOffset>
            </wp:positionH>
            <wp:positionV relativeFrom="page">
              <wp:posOffset>9469120</wp:posOffset>
            </wp:positionV>
            <wp:extent cx="645840" cy="645840"/>
            <wp:effectExtent l="0" t="0" r="1905" b="1905"/>
            <wp:wrapNone/>
            <wp:docPr id="2"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p>
    <w:sectPr w:rsidR="00201171" w:rsidRPr="00242216" w:rsidSect="00176F23">
      <w:headerReference w:type="even" r:id="rId10"/>
      <w:headerReference w:type="default" r:id="rId11"/>
      <w:footerReference w:type="even" r:id="rId12"/>
      <w:footerReference w:type="default" r:id="rId13"/>
      <w:headerReference w:type="first" r:id="rId14"/>
      <w:footerReference w:type="first" r:id="rId15"/>
      <w:pgSz w:w="11906" w:h="16838" w:code="9"/>
      <w:pgMar w:top="1191" w:right="1531" w:bottom="2211" w:left="1531" w:header="720" w:footer="1418" w:gutter="0"/>
      <w:pgNumType w:fmt="numberInDash" w:start="22"/>
      <w:cols w:space="425"/>
      <w:docGrid w:type="linesAndChars" w:linePitch="328" w:charSpace="-14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E4B" w:rsidRDefault="00B10E4B">
      <w:r>
        <w:separator/>
      </w:r>
    </w:p>
  </w:endnote>
  <w:endnote w:type="continuationSeparator" w:id="0">
    <w:p w:rsidR="00B10E4B" w:rsidRDefault="00B1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732" w:rsidRDefault="009C5F0C" w:rsidP="00430F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67732" w:rsidRDefault="00B10E4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14" w:rsidRPr="00671B8E" w:rsidRDefault="007E3614" w:rsidP="004936AE">
    <w:pPr>
      <w:pStyle w:val="a3"/>
      <w:framePr w:wrap="around" w:vAnchor="text" w:hAnchor="margin" w:xAlign="center" w:y="738"/>
      <w:jc w:val="center"/>
      <w:rPr>
        <w:rStyle w:val="a5"/>
        <w:sz w:val="22"/>
        <w:szCs w:val="22"/>
      </w:rPr>
    </w:pPr>
    <w:r w:rsidRPr="00671B8E">
      <w:rPr>
        <w:rStyle w:val="a5"/>
        <w:sz w:val="22"/>
        <w:szCs w:val="22"/>
      </w:rPr>
      <w:fldChar w:fldCharType="begin"/>
    </w:r>
    <w:r w:rsidRPr="00671B8E">
      <w:rPr>
        <w:rStyle w:val="a5"/>
        <w:sz w:val="22"/>
        <w:szCs w:val="22"/>
      </w:rPr>
      <w:instrText xml:space="preserve">PAGE  </w:instrText>
    </w:r>
    <w:r w:rsidRPr="00671B8E">
      <w:rPr>
        <w:rStyle w:val="a5"/>
        <w:sz w:val="22"/>
        <w:szCs w:val="22"/>
      </w:rPr>
      <w:fldChar w:fldCharType="separate"/>
    </w:r>
    <w:r w:rsidR="00176F23">
      <w:rPr>
        <w:rStyle w:val="a5"/>
        <w:noProof/>
        <w:sz w:val="22"/>
        <w:szCs w:val="22"/>
      </w:rPr>
      <w:t>- 22 -</w:t>
    </w:r>
    <w:r w:rsidRPr="00671B8E">
      <w:rPr>
        <w:rStyle w:val="a5"/>
        <w:sz w:val="22"/>
        <w:szCs w:val="22"/>
      </w:rPr>
      <w:fldChar w:fldCharType="end"/>
    </w:r>
  </w:p>
  <w:p w:rsidR="00747BAC" w:rsidRPr="00140F59" w:rsidRDefault="00B10E4B" w:rsidP="00140F59">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6AE" w:rsidRDefault="004936A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E4B" w:rsidRDefault="00B10E4B">
      <w:r>
        <w:separator/>
      </w:r>
    </w:p>
  </w:footnote>
  <w:footnote w:type="continuationSeparator" w:id="0">
    <w:p w:rsidR="00B10E4B" w:rsidRDefault="00B10E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6AE" w:rsidRDefault="004936A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6AE" w:rsidRDefault="004936AE">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6AE" w:rsidRDefault="004936A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76F82"/>
    <w:multiLevelType w:val="hybridMultilevel"/>
    <w:tmpl w:val="36388E36"/>
    <w:lvl w:ilvl="0" w:tplc="12AEE1DC">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202A1DB0"/>
    <w:multiLevelType w:val="hybridMultilevel"/>
    <w:tmpl w:val="27B82BB8"/>
    <w:lvl w:ilvl="0" w:tplc="B20028E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34B429B9"/>
    <w:multiLevelType w:val="hybridMultilevel"/>
    <w:tmpl w:val="006C97D2"/>
    <w:lvl w:ilvl="0" w:tplc="26C4BAF0">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361B5B62"/>
    <w:multiLevelType w:val="hybridMultilevel"/>
    <w:tmpl w:val="B1AA5D92"/>
    <w:lvl w:ilvl="0" w:tplc="109A24AE">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39D31D4E"/>
    <w:multiLevelType w:val="hybridMultilevel"/>
    <w:tmpl w:val="12102EB4"/>
    <w:lvl w:ilvl="0" w:tplc="FF0C168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426C7C17"/>
    <w:multiLevelType w:val="hybridMultilevel"/>
    <w:tmpl w:val="9A7290F0"/>
    <w:lvl w:ilvl="0" w:tplc="0409000F">
      <w:start w:val="1"/>
      <w:numFmt w:val="decimal"/>
      <w:lvlText w:val="%1."/>
      <w:lvlJc w:val="left"/>
      <w:pPr>
        <w:ind w:left="680" w:hanging="420"/>
      </w:p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42947078"/>
    <w:multiLevelType w:val="hybridMultilevel"/>
    <w:tmpl w:val="FD484A04"/>
    <w:lvl w:ilvl="0" w:tplc="F248454E">
      <w:start w:val="1"/>
      <w:numFmt w:val="decimal"/>
      <w:lvlText w:val="(%1)"/>
      <w:lvlJc w:val="left"/>
      <w:pPr>
        <w:ind w:left="420" w:hanging="4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7045B"/>
    <w:multiLevelType w:val="hybridMultilevel"/>
    <w:tmpl w:val="C994C56C"/>
    <w:lvl w:ilvl="0" w:tplc="FA147FFE">
      <w:start w:val="1"/>
      <w:numFmt w:val="decimal"/>
      <w:lvlText w:val="(%1)"/>
      <w:lvlJc w:val="left"/>
      <w:pPr>
        <w:ind w:left="980" w:hanging="720"/>
      </w:pPr>
      <w:rPr>
        <w:rFonts w:ascii="ＭＳ 明朝" w:eastAsia="ＭＳ 明朝" w:hAnsi="ＭＳ 明朝"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8" w15:restartNumberingAfterBreak="0">
    <w:nsid w:val="4A956C99"/>
    <w:multiLevelType w:val="hybridMultilevel"/>
    <w:tmpl w:val="7C7E622A"/>
    <w:lvl w:ilvl="0" w:tplc="47981594">
      <w:start w:val="1"/>
      <w:numFmt w:val="decimal"/>
      <w:lvlText w:val="（%1）"/>
      <w:lvlJc w:val="left"/>
      <w:pPr>
        <w:ind w:left="420" w:hanging="420"/>
      </w:pPr>
      <w:rPr>
        <w:rFonts w:asciiTheme="minorEastAsia" w:eastAsiaTheme="minorEastAsia" w:hAnsiTheme="minorEastAsia"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414CD8"/>
    <w:multiLevelType w:val="hybridMultilevel"/>
    <w:tmpl w:val="74DCB708"/>
    <w:lvl w:ilvl="0" w:tplc="CBD08792">
      <w:start w:val="1"/>
      <w:numFmt w:val="decimal"/>
      <w:lvlText w:val="(%1)"/>
      <w:lvlJc w:val="left"/>
      <w:pPr>
        <w:ind w:left="1240" w:hanging="72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0" w15:restartNumberingAfterBreak="0">
    <w:nsid w:val="5FE80D04"/>
    <w:multiLevelType w:val="hybridMultilevel"/>
    <w:tmpl w:val="F07AFED8"/>
    <w:lvl w:ilvl="0" w:tplc="7D3837E0">
      <w:start w:val="1"/>
      <w:numFmt w:val="decimal"/>
      <w:suff w:val="space"/>
      <w:lvlText w:val="(%1)"/>
      <w:lvlJc w:val="left"/>
      <w:pPr>
        <w:ind w:left="539" w:hanging="539"/>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7F0170"/>
    <w:multiLevelType w:val="hybridMultilevel"/>
    <w:tmpl w:val="D8F012AC"/>
    <w:lvl w:ilvl="0" w:tplc="CC904AA4">
      <w:start w:val="1"/>
      <w:numFmt w:val="decimal"/>
      <w:lvlText w:val="(%1)"/>
      <w:lvlJc w:val="left"/>
      <w:pPr>
        <w:ind w:left="980" w:hanging="720"/>
      </w:pPr>
      <w:rPr>
        <w:rFonts w:ascii="ＭＳ 明朝" w:eastAsia="ＭＳ 明朝" w:hAnsi="ＭＳ 明朝"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2" w15:restartNumberingAfterBreak="0">
    <w:nsid w:val="646D0642"/>
    <w:multiLevelType w:val="hybridMultilevel"/>
    <w:tmpl w:val="705CF9D0"/>
    <w:lvl w:ilvl="0" w:tplc="48E6F228">
      <w:start w:val="1"/>
      <w:numFmt w:val="decimal"/>
      <w:suff w:val="space"/>
      <w:lvlText w:val="(%1)"/>
      <w:lvlJc w:val="left"/>
      <w:pPr>
        <w:ind w:left="539" w:hanging="539"/>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2175E7"/>
    <w:multiLevelType w:val="hybridMultilevel"/>
    <w:tmpl w:val="C6FAF3F8"/>
    <w:lvl w:ilvl="0" w:tplc="48E6F228">
      <w:start w:val="1"/>
      <w:numFmt w:val="decimal"/>
      <w:suff w:val="space"/>
      <w:lvlText w:val="(%1)"/>
      <w:lvlJc w:val="left"/>
      <w:pPr>
        <w:ind w:left="539" w:hanging="539"/>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965C58"/>
    <w:multiLevelType w:val="hybridMultilevel"/>
    <w:tmpl w:val="CAD86F64"/>
    <w:lvl w:ilvl="0" w:tplc="CE9272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4F1171"/>
    <w:multiLevelType w:val="hybridMultilevel"/>
    <w:tmpl w:val="7CEE1366"/>
    <w:lvl w:ilvl="0" w:tplc="3E92EDF6">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6" w15:restartNumberingAfterBreak="0">
    <w:nsid w:val="74F354EC"/>
    <w:multiLevelType w:val="hybridMultilevel"/>
    <w:tmpl w:val="7C0AF840"/>
    <w:lvl w:ilvl="0" w:tplc="1E54F592">
      <w:start w:val="1"/>
      <w:numFmt w:val="decimal"/>
      <w:lvlText w:val="(%1)"/>
      <w:lvlJc w:val="left"/>
      <w:pPr>
        <w:ind w:left="1240" w:hanging="72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7" w15:restartNumberingAfterBreak="0">
    <w:nsid w:val="7B7A5484"/>
    <w:multiLevelType w:val="hybridMultilevel"/>
    <w:tmpl w:val="B9BCD74E"/>
    <w:lvl w:ilvl="0" w:tplc="F77AB72C">
      <w:start w:val="1"/>
      <w:numFmt w:val="decimal"/>
      <w:lvlText w:val="(%1)"/>
      <w:lvlJc w:val="left"/>
      <w:pPr>
        <w:ind w:left="980" w:hanging="720"/>
      </w:pPr>
      <w:rPr>
        <w:rFonts w:ascii="ＭＳ 明朝" w:eastAsia="ＭＳ 明朝" w:hAnsi="ＭＳ 明朝"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8" w15:restartNumberingAfterBreak="0">
    <w:nsid w:val="7DD64718"/>
    <w:multiLevelType w:val="hybridMultilevel"/>
    <w:tmpl w:val="362A49BC"/>
    <w:lvl w:ilvl="0" w:tplc="48E6F228">
      <w:start w:val="1"/>
      <w:numFmt w:val="decimal"/>
      <w:suff w:val="space"/>
      <w:lvlText w:val="(%1)"/>
      <w:lvlJc w:val="left"/>
      <w:pPr>
        <w:ind w:left="539" w:hanging="539"/>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4"/>
  </w:num>
  <w:num w:numId="3">
    <w:abstractNumId w:val="4"/>
  </w:num>
  <w:num w:numId="4">
    <w:abstractNumId w:val="1"/>
  </w:num>
  <w:num w:numId="5">
    <w:abstractNumId w:val="16"/>
  </w:num>
  <w:num w:numId="6">
    <w:abstractNumId w:val="9"/>
  </w:num>
  <w:num w:numId="7">
    <w:abstractNumId w:val="15"/>
  </w:num>
  <w:num w:numId="8">
    <w:abstractNumId w:val="2"/>
  </w:num>
  <w:num w:numId="9">
    <w:abstractNumId w:val="3"/>
  </w:num>
  <w:num w:numId="10">
    <w:abstractNumId w:val="17"/>
  </w:num>
  <w:num w:numId="11">
    <w:abstractNumId w:val="7"/>
  </w:num>
  <w:num w:numId="12">
    <w:abstractNumId w:val="5"/>
  </w:num>
  <w:num w:numId="13">
    <w:abstractNumId w:val="11"/>
  </w:num>
  <w:num w:numId="14">
    <w:abstractNumId w:val="8"/>
  </w:num>
  <w:num w:numId="15">
    <w:abstractNumId w:val="10"/>
  </w:num>
  <w:num w:numId="16">
    <w:abstractNumId w:val="6"/>
  </w:num>
  <w:num w:numId="17">
    <w:abstractNumId w:val="12"/>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23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0C"/>
    <w:rsid w:val="00067F28"/>
    <w:rsid w:val="000746B2"/>
    <w:rsid w:val="000B65A2"/>
    <w:rsid w:val="00105B5D"/>
    <w:rsid w:val="00172F81"/>
    <w:rsid w:val="00176F23"/>
    <w:rsid w:val="001801A8"/>
    <w:rsid w:val="001845EA"/>
    <w:rsid w:val="00184BF6"/>
    <w:rsid w:val="001A7161"/>
    <w:rsid w:val="001D134E"/>
    <w:rsid w:val="001E72D7"/>
    <w:rsid w:val="00201171"/>
    <w:rsid w:val="00242216"/>
    <w:rsid w:val="00242E08"/>
    <w:rsid w:val="002849D3"/>
    <w:rsid w:val="00287DC1"/>
    <w:rsid w:val="002A100B"/>
    <w:rsid w:val="002B5F85"/>
    <w:rsid w:val="002D1F24"/>
    <w:rsid w:val="002E3CFA"/>
    <w:rsid w:val="00316F49"/>
    <w:rsid w:val="003D14E6"/>
    <w:rsid w:val="003D1F2F"/>
    <w:rsid w:val="004166CB"/>
    <w:rsid w:val="00486F0D"/>
    <w:rsid w:val="004936AE"/>
    <w:rsid w:val="00544535"/>
    <w:rsid w:val="00561087"/>
    <w:rsid w:val="005B2202"/>
    <w:rsid w:val="005D419B"/>
    <w:rsid w:val="005E31F3"/>
    <w:rsid w:val="00613A85"/>
    <w:rsid w:val="00614C15"/>
    <w:rsid w:val="0067234E"/>
    <w:rsid w:val="00684972"/>
    <w:rsid w:val="00716599"/>
    <w:rsid w:val="00716CAD"/>
    <w:rsid w:val="0073274D"/>
    <w:rsid w:val="00740616"/>
    <w:rsid w:val="007915FE"/>
    <w:rsid w:val="007B08DF"/>
    <w:rsid w:val="007E3614"/>
    <w:rsid w:val="008431FA"/>
    <w:rsid w:val="00877128"/>
    <w:rsid w:val="008A4BF1"/>
    <w:rsid w:val="008B6B7C"/>
    <w:rsid w:val="008C320C"/>
    <w:rsid w:val="008D399D"/>
    <w:rsid w:val="008D4818"/>
    <w:rsid w:val="008E44CF"/>
    <w:rsid w:val="00935B7A"/>
    <w:rsid w:val="009412C0"/>
    <w:rsid w:val="00946242"/>
    <w:rsid w:val="00952264"/>
    <w:rsid w:val="009C5F0C"/>
    <w:rsid w:val="009E2BC0"/>
    <w:rsid w:val="00A431A8"/>
    <w:rsid w:val="00A932EC"/>
    <w:rsid w:val="00AE0A1B"/>
    <w:rsid w:val="00AE48DB"/>
    <w:rsid w:val="00B0387A"/>
    <w:rsid w:val="00B10E4B"/>
    <w:rsid w:val="00B50937"/>
    <w:rsid w:val="00B70A7A"/>
    <w:rsid w:val="00B84307"/>
    <w:rsid w:val="00BE5DE3"/>
    <w:rsid w:val="00BE697A"/>
    <w:rsid w:val="00C52644"/>
    <w:rsid w:val="00C87051"/>
    <w:rsid w:val="00CC7770"/>
    <w:rsid w:val="00CD2D55"/>
    <w:rsid w:val="00CF2C36"/>
    <w:rsid w:val="00D26B57"/>
    <w:rsid w:val="00D32515"/>
    <w:rsid w:val="00DB3E86"/>
    <w:rsid w:val="00DB71E2"/>
    <w:rsid w:val="00DD6ABB"/>
    <w:rsid w:val="00E32A27"/>
    <w:rsid w:val="00E56A15"/>
    <w:rsid w:val="00E626FF"/>
    <w:rsid w:val="00EB6D8F"/>
    <w:rsid w:val="00ED611F"/>
    <w:rsid w:val="00EE673D"/>
    <w:rsid w:val="00FA5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410AC63-2A0C-4AD6-AD7D-DCD7866B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F0C"/>
    <w:pPr>
      <w:widowControl w:val="0"/>
      <w:jc w:val="both"/>
    </w:pPr>
    <w:rPr>
      <w:rFonts w:ascii="ＭＳ 明朝" w:eastAsia="ＭＳ 明朝" w:hAnsi="ＭＳ 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C5F0C"/>
    <w:pPr>
      <w:tabs>
        <w:tab w:val="center" w:pos="4252"/>
        <w:tab w:val="right" w:pos="8504"/>
      </w:tabs>
      <w:snapToGrid w:val="0"/>
    </w:pPr>
  </w:style>
  <w:style w:type="character" w:customStyle="1" w:styleId="a4">
    <w:name w:val="フッター (文字)"/>
    <w:basedOn w:val="a0"/>
    <w:link w:val="a3"/>
    <w:rsid w:val="009C5F0C"/>
    <w:rPr>
      <w:rFonts w:ascii="ＭＳ 明朝" w:eastAsia="ＭＳ 明朝" w:hAnsi="ＭＳ 明朝" w:cs="Times New Roman"/>
      <w:kern w:val="0"/>
      <w:sz w:val="24"/>
      <w:szCs w:val="24"/>
    </w:rPr>
  </w:style>
  <w:style w:type="character" w:styleId="a5">
    <w:name w:val="page number"/>
    <w:basedOn w:val="a0"/>
    <w:rsid w:val="009C5F0C"/>
  </w:style>
  <w:style w:type="paragraph" w:styleId="a6">
    <w:name w:val="header"/>
    <w:basedOn w:val="a"/>
    <w:link w:val="a7"/>
    <w:uiPriority w:val="99"/>
    <w:unhideWhenUsed/>
    <w:rsid w:val="001D134E"/>
    <w:pPr>
      <w:tabs>
        <w:tab w:val="center" w:pos="4252"/>
        <w:tab w:val="right" w:pos="8504"/>
      </w:tabs>
      <w:snapToGrid w:val="0"/>
    </w:pPr>
  </w:style>
  <w:style w:type="character" w:customStyle="1" w:styleId="a7">
    <w:name w:val="ヘッダー (文字)"/>
    <w:basedOn w:val="a0"/>
    <w:link w:val="a6"/>
    <w:uiPriority w:val="99"/>
    <w:rsid w:val="001D134E"/>
    <w:rPr>
      <w:rFonts w:ascii="ＭＳ 明朝" w:eastAsia="ＭＳ 明朝" w:hAnsi="ＭＳ 明朝" w:cs="Times New Roman"/>
      <w:kern w:val="0"/>
      <w:sz w:val="24"/>
      <w:szCs w:val="24"/>
    </w:rPr>
  </w:style>
  <w:style w:type="paragraph" w:styleId="a8">
    <w:name w:val="Balloon Text"/>
    <w:basedOn w:val="a"/>
    <w:link w:val="a9"/>
    <w:uiPriority w:val="99"/>
    <w:semiHidden/>
    <w:unhideWhenUsed/>
    <w:rsid w:val="007B08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8DF"/>
    <w:rPr>
      <w:rFonts w:asciiTheme="majorHAnsi" w:eastAsiaTheme="majorEastAsia" w:hAnsiTheme="majorHAnsi" w:cstheme="majorBidi"/>
      <w:kern w:val="0"/>
      <w:sz w:val="18"/>
      <w:szCs w:val="18"/>
    </w:rPr>
  </w:style>
  <w:style w:type="paragraph" w:styleId="aa">
    <w:name w:val="List Paragraph"/>
    <w:basedOn w:val="a"/>
    <w:uiPriority w:val="34"/>
    <w:qFormat/>
    <w:rsid w:val="00DB71E2"/>
    <w:pPr>
      <w:ind w:leftChars="400" w:left="840"/>
    </w:pPr>
  </w:style>
  <w:style w:type="paragraph" w:customStyle="1" w:styleId="ab">
    <w:name w:val="標準(太郎文書スタイル)"/>
    <w:uiPriority w:val="99"/>
    <w:rsid w:val="008B6B7C"/>
    <w:pPr>
      <w:widowControl w:val="0"/>
      <w:suppressAutoHyphens/>
      <w:overflowPunct w:val="0"/>
      <w:adjustRightInd w:val="0"/>
      <w:jc w:val="both"/>
      <w:textAlignment w:val="baseline"/>
    </w:pPr>
    <w:rPr>
      <w:rFonts w:ascii="Century"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11BBF-46E7-4901-B529-43607559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shougai</dc:creator>
  <cp:lastModifiedBy>Windows User</cp:lastModifiedBy>
  <cp:revision>24</cp:revision>
  <cp:lastPrinted>2017-10-17T09:21:00Z</cp:lastPrinted>
  <dcterms:created xsi:type="dcterms:W3CDTF">2017-09-15T06:58:00Z</dcterms:created>
  <dcterms:modified xsi:type="dcterms:W3CDTF">2018-03-29T13:12:00Z</dcterms:modified>
</cp:coreProperties>
</file>